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90AE" w14:textId="27793FEC" w:rsidR="00C81290" w:rsidRDefault="00FC2566" w:rsidP="007543FF">
      <w:pPr>
        <w:pStyle w:val="Heading1"/>
      </w:pPr>
      <w:r>
        <w:t>Research</w:t>
      </w:r>
      <w:r w:rsidR="001A7F1E">
        <w:t xml:space="preserve"> </w:t>
      </w:r>
      <w:r>
        <w:t>-</w:t>
      </w:r>
      <w:r w:rsidR="001A7F1E">
        <w:t xml:space="preserve"> </w:t>
      </w:r>
      <w:r w:rsidR="002F5DE7">
        <w:t>Art</w:t>
      </w:r>
      <w:r>
        <w:t xml:space="preserve">s </w:t>
      </w:r>
      <w:r w:rsidR="00A67C47">
        <w:t>R</w:t>
      </w:r>
      <w:r>
        <w:t>elationships</w:t>
      </w:r>
      <w:r w:rsidR="00C57A38">
        <w:t xml:space="preserve">: </w:t>
      </w:r>
      <w:r w:rsidR="00A67C47">
        <w:t>D</w:t>
      </w:r>
      <w:r w:rsidR="00177041">
        <w:t xml:space="preserve">iscussion </w:t>
      </w:r>
      <w:r w:rsidR="00A67C47">
        <w:t>D</w:t>
      </w:r>
      <w:r w:rsidR="00177041">
        <w:t>ocument</w:t>
      </w:r>
    </w:p>
    <w:p w14:paraId="697085C5" w14:textId="77777777" w:rsidR="00ED755B" w:rsidRPr="002F5DE7" w:rsidRDefault="00ED755B" w:rsidP="00C81290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86"/>
        <w:gridCol w:w="2925"/>
      </w:tblGrid>
      <w:tr w:rsidR="00222E1F" w14:paraId="1D9323CD" w14:textId="77777777" w:rsidTr="00DB1A2C">
        <w:tc>
          <w:tcPr>
            <w:tcW w:w="9016" w:type="dxa"/>
            <w:gridSpan w:val="3"/>
            <w:shd w:val="clear" w:color="auto" w:fill="FFE599" w:themeFill="accent4" w:themeFillTint="66"/>
          </w:tcPr>
          <w:p w14:paraId="7E79B148" w14:textId="6594FB6F" w:rsidR="00222E1F" w:rsidRPr="004863FC" w:rsidRDefault="00222E1F" w:rsidP="00AC0235">
            <w:pPr>
              <w:pStyle w:val="Heading2"/>
            </w:pPr>
            <w:r>
              <w:t>The Role of Art in Different Countries / Communities</w:t>
            </w:r>
          </w:p>
        </w:tc>
      </w:tr>
      <w:tr w:rsidR="004863FC" w14:paraId="7CE85C43" w14:textId="77777777" w:rsidTr="00C2031F">
        <w:tc>
          <w:tcPr>
            <w:tcW w:w="3005" w:type="dxa"/>
          </w:tcPr>
          <w:p w14:paraId="30D120B4" w14:textId="129C8641" w:rsidR="004863FC" w:rsidRPr="004863FC" w:rsidRDefault="004863FC" w:rsidP="00AC0235">
            <w:pPr>
              <w:pStyle w:val="Heading3"/>
            </w:pPr>
            <w:r>
              <w:t xml:space="preserve">Overarching </w:t>
            </w:r>
            <w:r w:rsidR="00E6736F">
              <w:t>Q</w:t>
            </w:r>
            <w:r>
              <w:t>uestion</w:t>
            </w:r>
          </w:p>
        </w:tc>
        <w:tc>
          <w:tcPr>
            <w:tcW w:w="3086" w:type="dxa"/>
          </w:tcPr>
          <w:p w14:paraId="61E059D4" w14:textId="54B2FF71" w:rsidR="004863FC" w:rsidRPr="004863FC" w:rsidRDefault="004863FC" w:rsidP="00AC0235">
            <w:pPr>
              <w:pStyle w:val="Heading3"/>
            </w:pPr>
            <w:r>
              <w:t xml:space="preserve">Specific </w:t>
            </w:r>
          </w:p>
        </w:tc>
        <w:tc>
          <w:tcPr>
            <w:tcW w:w="2925" w:type="dxa"/>
          </w:tcPr>
          <w:p w14:paraId="76E2FBF2" w14:textId="21864724" w:rsidR="004863FC" w:rsidRPr="004863FC" w:rsidRDefault="004863FC" w:rsidP="00AC0235">
            <w:pPr>
              <w:pStyle w:val="Heading3"/>
            </w:pPr>
            <w:r>
              <w:t xml:space="preserve">Comments </w:t>
            </w:r>
            <w:r w:rsidR="00AC0235">
              <w:t>/Context</w:t>
            </w:r>
          </w:p>
        </w:tc>
      </w:tr>
      <w:tr w:rsidR="004863FC" w14:paraId="726CAECF" w14:textId="77777777" w:rsidTr="00C2031F">
        <w:tc>
          <w:tcPr>
            <w:tcW w:w="3005" w:type="dxa"/>
          </w:tcPr>
          <w:p w14:paraId="79285F29" w14:textId="0AEAFDEA" w:rsidR="004863FC" w:rsidRDefault="001E2A8B" w:rsidP="00C81290">
            <w:r>
              <w:t>What kinds of arts are part of the everyday, who is practising them and how do we elevate them?</w:t>
            </w:r>
          </w:p>
        </w:tc>
        <w:tc>
          <w:tcPr>
            <w:tcW w:w="3086" w:type="dxa"/>
          </w:tcPr>
          <w:p w14:paraId="0659DFE0" w14:textId="7D42CA11" w:rsidR="004863FC" w:rsidRDefault="001E2A8B" w:rsidP="00451A8A">
            <w:pPr>
              <w:pStyle w:val="ListParagraph"/>
              <w:numPr>
                <w:ilvl w:val="0"/>
                <w:numId w:val="4"/>
              </w:numPr>
            </w:pPr>
            <w:r>
              <w:t>How far are</w:t>
            </w:r>
            <w:r w:rsidR="004863FC">
              <w:t xml:space="preserve"> the</w:t>
            </w:r>
            <w:r>
              <w:t>se</w:t>
            </w:r>
            <w:r w:rsidR="004863FC">
              <w:t xml:space="preserve"> art</w:t>
            </w:r>
            <w:r>
              <w:t xml:space="preserve"> form</w:t>
            </w:r>
            <w:r w:rsidR="004863FC">
              <w:t>s acting as stabilisers or disrupters of power, or both?</w:t>
            </w:r>
          </w:p>
          <w:p w14:paraId="1CD7AC98" w14:textId="25DCD5AC" w:rsidR="004863FC" w:rsidRDefault="004863FC" w:rsidP="00451A8A">
            <w:pPr>
              <w:pStyle w:val="ListParagraph"/>
              <w:numPr>
                <w:ilvl w:val="0"/>
                <w:numId w:val="4"/>
              </w:numPr>
            </w:pPr>
            <w:r>
              <w:t xml:space="preserve">What does that mean for </w:t>
            </w:r>
            <w:r w:rsidR="001E2A8B">
              <w:t>the research</w:t>
            </w:r>
            <w:r>
              <w:t xml:space="preserve"> project?</w:t>
            </w:r>
          </w:p>
        </w:tc>
        <w:tc>
          <w:tcPr>
            <w:tcW w:w="2925" w:type="dxa"/>
          </w:tcPr>
          <w:p w14:paraId="19051112" w14:textId="77777777" w:rsidR="004863FC" w:rsidRDefault="004863FC" w:rsidP="00C81290"/>
        </w:tc>
      </w:tr>
      <w:tr w:rsidR="004863FC" w14:paraId="05FD78C1" w14:textId="77777777" w:rsidTr="00C2031F">
        <w:tc>
          <w:tcPr>
            <w:tcW w:w="3005" w:type="dxa"/>
          </w:tcPr>
          <w:p w14:paraId="3EAA2207" w14:textId="77777777" w:rsidR="004863FC" w:rsidRDefault="004863FC" w:rsidP="00C81290">
            <w:r>
              <w:t xml:space="preserve">Which art forms have </w:t>
            </w:r>
            <w:proofErr w:type="gramStart"/>
            <w:r>
              <w:t>particular resonance</w:t>
            </w:r>
            <w:proofErr w:type="gramEnd"/>
            <w:r>
              <w:t xml:space="preserve"> among communities? Which do not?</w:t>
            </w:r>
          </w:p>
          <w:p w14:paraId="60CDD29C" w14:textId="77777777" w:rsidR="001E2A8B" w:rsidRDefault="001E2A8B" w:rsidP="00C81290"/>
          <w:p w14:paraId="7DF92B32" w14:textId="2AA5FF4E" w:rsidR="001E2A8B" w:rsidRDefault="001E2A8B" w:rsidP="00C81290">
            <w:r>
              <w:t>What is community art in the community? Which community and which arts?</w:t>
            </w:r>
          </w:p>
          <w:p w14:paraId="4E7B4225" w14:textId="2B0D7765" w:rsidR="0034693E" w:rsidRDefault="0034693E" w:rsidP="00C81290"/>
        </w:tc>
        <w:tc>
          <w:tcPr>
            <w:tcW w:w="3086" w:type="dxa"/>
          </w:tcPr>
          <w:p w14:paraId="69A56486" w14:textId="3B4FD6E8" w:rsidR="004863FC" w:rsidRDefault="00773599" w:rsidP="00451A8A">
            <w:pPr>
              <w:pStyle w:val="ListParagraph"/>
              <w:numPr>
                <w:ilvl w:val="0"/>
                <w:numId w:val="5"/>
              </w:numPr>
            </w:pPr>
            <w:r>
              <w:t xml:space="preserve">Danger of pigeonholing </w:t>
            </w:r>
          </w:p>
        </w:tc>
        <w:tc>
          <w:tcPr>
            <w:tcW w:w="2925" w:type="dxa"/>
          </w:tcPr>
          <w:p w14:paraId="090E55C7" w14:textId="77777777" w:rsidR="004863FC" w:rsidRDefault="004863FC" w:rsidP="00C81290"/>
        </w:tc>
      </w:tr>
      <w:tr w:rsidR="004863FC" w14:paraId="62786116" w14:textId="77777777" w:rsidTr="00C2031F">
        <w:tc>
          <w:tcPr>
            <w:tcW w:w="3005" w:type="dxa"/>
          </w:tcPr>
          <w:p w14:paraId="4514395B" w14:textId="309314B9" w:rsidR="004863FC" w:rsidRDefault="0034693E" w:rsidP="00C81290">
            <w:r>
              <w:t xml:space="preserve">Are </w:t>
            </w:r>
            <w:r w:rsidR="00E1603F">
              <w:t xml:space="preserve">even these community </w:t>
            </w:r>
            <w:r>
              <w:t xml:space="preserve">art forms tied to </w:t>
            </w:r>
            <w:r w:rsidR="00E8241A">
              <w:t>donors / languages/ interests</w:t>
            </w:r>
            <w:r>
              <w:t>?</w:t>
            </w:r>
          </w:p>
          <w:p w14:paraId="680E4633" w14:textId="14CF5F89" w:rsidR="00E6736F" w:rsidRDefault="00E6736F" w:rsidP="00C81290"/>
        </w:tc>
        <w:tc>
          <w:tcPr>
            <w:tcW w:w="3086" w:type="dxa"/>
          </w:tcPr>
          <w:p w14:paraId="06A7F450" w14:textId="6A3BF51D" w:rsidR="004863FC" w:rsidRDefault="00C92678" w:rsidP="00451A8A">
            <w:pPr>
              <w:pStyle w:val="ListParagraph"/>
              <w:numPr>
                <w:ilvl w:val="0"/>
                <w:numId w:val="5"/>
              </w:numPr>
            </w:pPr>
            <w:r>
              <w:t xml:space="preserve">How do we deal with </w:t>
            </w:r>
            <w:r w:rsidR="00576169">
              <w:t>such</w:t>
            </w:r>
            <w:r>
              <w:t xml:space="preserve"> inherent power structures?</w:t>
            </w:r>
          </w:p>
        </w:tc>
        <w:tc>
          <w:tcPr>
            <w:tcW w:w="2925" w:type="dxa"/>
          </w:tcPr>
          <w:p w14:paraId="7454561C" w14:textId="77777777" w:rsidR="004863FC" w:rsidRDefault="004863FC" w:rsidP="00C81290"/>
        </w:tc>
      </w:tr>
      <w:tr w:rsidR="004863FC" w14:paraId="225F4879" w14:textId="77777777" w:rsidTr="00C2031F">
        <w:tc>
          <w:tcPr>
            <w:tcW w:w="3005" w:type="dxa"/>
          </w:tcPr>
          <w:p w14:paraId="7E69E605" w14:textId="541FC702" w:rsidR="004863FC" w:rsidRDefault="000327B9" w:rsidP="00C81290">
            <w:r>
              <w:t xml:space="preserve">What is considered </w:t>
            </w:r>
            <w:r w:rsidR="00C92678">
              <w:t>‘</w:t>
            </w:r>
            <w:r>
              <w:t>art</w:t>
            </w:r>
            <w:r w:rsidR="00C92678">
              <w:t>’</w:t>
            </w:r>
            <w:r>
              <w:t xml:space="preserve"> in each context?</w:t>
            </w:r>
          </w:p>
        </w:tc>
        <w:tc>
          <w:tcPr>
            <w:tcW w:w="3086" w:type="dxa"/>
          </w:tcPr>
          <w:p w14:paraId="3FAA378A" w14:textId="4EAA7B4D" w:rsidR="004863FC" w:rsidRDefault="000327B9" w:rsidP="00451A8A">
            <w:pPr>
              <w:pStyle w:val="ListParagraph"/>
              <w:numPr>
                <w:ilvl w:val="0"/>
                <w:numId w:val="5"/>
              </w:numPr>
            </w:pPr>
            <w:r>
              <w:t xml:space="preserve">Art and craft dichotomy </w:t>
            </w:r>
          </w:p>
        </w:tc>
        <w:tc>
          <w:tcPr>
            <w:tcW w:w="2925" w:type="dxa"/>
          </w:tcPr>
          <w:p w14:paraId="00218E5D" w14:textId="77777777" w:rsidR="004863FC" w:rsidRDefault="004863FC" w:rsidP="00C81290"/>
        </w:tc>
      </w:tr>
    </w:tbl>
    <w:p w14:paraId="49DA3AC5" w14:textId="77777777" w:rsidR="004863FC" w:rsidRDefault="004863FC" w:rsidP="00C812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86"/>
        <w:gridCol w:w="2925"/>
      </w:tblGrid>
      <w:tr w:rsidR="004872E5" w14:paraId="01459DF9" w14:textId="77777777" w:rsidTr="00515672">
        <w:tc>
          <w:tcPr>
            <w:tcW w:w="9016" w:type="dxa"/>
            <w:gridSpan w:val="3"/>
            <w:shd w:val="clear" w:color="auto" w:fill="FFE599" w:themeFill="accent4" w:themeFillTint="66"/>
          </w:tcPr>
          <w:p w14:paraId="55C1A78D" w14:textId="074C9398" w:rsidR="004872E5" w:rsidRDefault="004872E5" w:rsidP="00AC0235">
            <w:pPr>
              <w:pStyle w:val="Heading2"/>
            </w:pPr>
            <w:r w:rsidRPr="000A3393">
              <w:t xml:space="preserve">Identifying </w:t>
            </w:r>
            <w:r>
              <w:t>A</w:t>
            </w:r>
            <w:r w:rsidRPr="000A3393">
              <w:t>rtists</w:t>
            </w:r>
          </w:p>
        </w:tc>
      </w:tr>
      <w:tr w:rsidR="002F5DE7" w14:paraId="1ED148E7" w14:textId="77777777" w:rsidTr="00C2031F">
        <w:tc>
          <w:tcPr>
            <w:tcW w:w="3005" w:type="dxa"/>
          </w:tcPr>
          <w:p w14:paraId="602A0332" w14:textId="6E435657" w:rsidR="002F5DE7" w:rsidRPr="001E3F5F" w:rsidRDefault="001E3F5F" w:rsidP="00AC0235">
            <w:pPr>
              <w:pStyle w:val="Heading3"/>
            </w:pPr>
            <w:r>
              <w:t xml:space="preserve">Overarching </w:t>
            </w:r>
            <w:r w:rsidR="00E6736F">
              <w:t>Q</w:t>
            </w:r>
            <w:r>
              <w:t>uestion</w:t>
            </w:r>
          </w:p>
        </w:tc>
        <w:tc>
          <w:tcPr>
            <w:tcW w:w="3086" w:type="dxa"/>
          </w:tcPr>
          <w:p w14:paraId="46C9791E" w14:textId="0BDE9779" w:rsidR="002F5DE7" w:rsidRPr="001E3F5F" w:rsidRDefault="001E3F5F" w:rsidP="00AC0235">
            <w:pPr>
              <w:pStyle w:val="Heading3"/>
            </w:pPr>
            <w:r>
              <w:t xml:space="preserve">Options </w:t>
            </w:r>
          </w:p>
        </w:tc>
        <w:tc>
          <w:tcPr>
            <w:tcW w:w="2925" w:type="dxa"/>
          </w:tcPr>
          <w:p w14:paraId="3A385994" w14:textId="59DAC8BE" w:rsidR="002F5DE7" w:rsidRPr="001E3F5F" w:rsidRDefault="001E3F5F" w:rsidP="00AC0235">
            <w:pPr>
              <w:pStyle w:val="Heading3"/>
            </w:pPr>
            <w:r>
              <w:t>Comments</w:t>
            </w:r>
            <w:r w:rsidR="00AC0235">
              <w:t>/Context</w:t>
            </w:r>
          </w:p>
        </w:tc>
      </w:tr>
      <w:tr w:rsidR="002F5DE7" w14:paraId="6FF8DD1E" w14:textId="77777777" w:rsidTr="00C2031F">
        <w:tc>
          <w:tcPr>
            <w:tcW w:w="3005" w:type="dxa"/>
          </w:tcPr>
          <w:p w14:paraId="319E114C" w14:textId="00FEDECE" w:rsidR="002F5DE7" w:rsidRDefault="002F5DE7" w:rsidP="006D4767">
            <w:r>
              <w:t xml:space="preserve">How </w:t>
            </w:r>
            <w:r w:rsidR="00E1603F">
              <w:t xml:space="preserve">can </w:t>
            </w:r>
            <w:r>
              <w:t>we best find artists</w:t>
            </w:r>
            <w:r w:rsidR="00E1603F">
              <w:t xml:space="preserve"> who are in and of the community and who are engaged in changing community, not just reflecting it</w:t>
            </w:r>
            <w:r>
              <w:t>?</w:t>
            </w:r>
          </w:p>
        </w:tc>
        <w:tc>
          <w:tcPr>
            <w:tcW w:w="3086" w:type="dxa"/>
          </w:tcPr>
          <w:p w14:paraId="7456EF14" w14:textId="77777777" w:rsidR="002F5DE7" w:rsidRDefault="002F5DE7" w:rsidP="004D27EB">
            <w:pPr>
              <w:pStyle w:val="ListParagraph"/>
              <w:numPr>
                <w:ilvl w:val="0"/>
                <w:numId w:val="5"/>
              </w:numPr>
            </w:pPr>
            <w:r>
              <w:t>Cultural asset mapping</w:t>
            </w:r>
          </w:p>
          <w:p w14:paraId="53270DE9" w14:textId="77777777" w:rsidR="00E1603F" w:rsidRDefault="00E1603F" w:rsidP="004D27EB">
            <w:pPr>
              <w:pStyle w:val="ListParagraph"/>
              <w:numPr>
                <w:ilvl w:val="0"/>
                <w:numId w:val="5"/>
              </w:numPr>
            </w:pPr>
            <w:r>
              <w:t>Consult with arts teachers at school or university level</w:t>
            </w:r>
          </w:p>
          <w:p w14:paraId="64021AD1" w14:textId="77777777" w:rsidR="002F5DE7" w:rsidRDefault="002F5DE7" w:rsidP="004D27EB">
            <w:pPr>
              <w:pStyle w:val="ListParagraph"/>
              <w:numPr>
                <w:ilvl w:val="0"/>
                <w:numId w:val="5"/>
              </w:numPr>
            </w:pPr>
            <w:r>
              <w:t>Networking with existing artist contacts</w:t>
            </w:r>
          </w:p>
          <w:p w14:paraId="4A4081DC" w14:textId="3AB6A89C" w:rsidR="002F5DE7" w:rsidRDefault="00E1603F" w:rsidP="004D27EB">
            <w:pPr>
              <w:pStyle w:val="ListParagraph"/>
              <w:numPr>
                <w:ilvl w:val="0"/>
                <w:numId w:val="5"/>
              </w:numPr>
            </w:pPr>
            <w:r>
              <w:t>Do you need an a</w:t>
            </w:r>
            <w:r w:rsidR="002F5DE7">
              <w:t>rts advisory committee</w:t>
            </w:r>
            <w:r>
              <w:t>?</w:t>
            </w:r>
          </w:p>
          <w:p w14:paraId="180A686E" w14:textId="0DE89399" w:rsidR="002F5DE7" w:rsidRDefault="002F5DE7" w:rsidP="004D27EB">
            <w:pPr>
              <w:pStyle w:val="ListParagraph"/>
              <w:numPr>
                <w:ilvl w:val="0"/>
                <w:numId w:val="5"/>
              </w:numPr>
            </w:pPr>
            <w:r>
              <w:t xml:space="preserve">Go through existing umbrella </w:t>
            </w:r>
            <w:r w:rsidR="00E1603F">
              <w:t xml:space="preserve">community </w:t>
            </w:r>
            <w:r>
              <w:t>organisations</w:t>
            </w:r>
            <w:r w:rsidR="00E1603F">
              <w:t xml:space="preserve"> to identify locally meaningful art</w:t>
            </w:r>
          </w:p>
        </w:tc>
        <w:tc>
          <w:tcPr>
            <w:tcW w:w="2925" w:type="dxa"/>
          </w:tcPr>
          <w:p w14:paraId="6254F2F0" w14:textId="77777777" w:rsidR="002F5DE7" w:rsidRDefault="002F5DE7" w:rsidP="00C81290"/>
        </w:tc>
      </w:tr>
      <w:tr w:rsidR="002F5DE7" w14:paraId="5FB03128" w14:textId="77777777" w:rsidTr="00C2031F">
        <w:tc>
          <w:tcPr>
            <w:tcW w:w="3005" w:type="dxa"/>
          </w:tcPr>
          <w:p w14:paraId="0FE5DEB9" w14:textId="77777777" w:rsidR="002F5DE7" w:rsidRDefault="002F5DE7" w:rsidP="006D4767">
            <w:r>
              <w:t xml:space="preserve">How do we </w:t>
            </w:r>
            <w:proofErr w:type="gramStart"/>
            <w:r w:rsidR="00E1603F">
              <w:t>open up</w:t>
            </w:r>
            <w:proofErr w:type="gramEnd"/>
            <w:r w:rsidR="00E1603F">
              <w:t xml:space="preserve"> a conversation on what decolonising requires with</w:t>
            </w:r>
            <w:r w:rsidR="00F11855">
              <w:t>in</w:t>
            </w:r>
            <w:r w:rsidR="00E1603F">
              <w:t xml:space="preserve"> this? How far are they engaging with decoloniality?</w:t>
            </w:r>
          </w:p>
          <w:p w14:paraId="22E52C79" w14:textId="2A537F0C" w:rsidR="00E6736F" w:rsidRDefault="00E6736F" w:rsidP="006D4767"/>
        </w:tc>
        <w:tc>
          <w:tcPr>
            <w:tcW w:w="3086" w:type="dxa"/>
          </w:tcPr>
          <w:p w14:paraId="4CE7DB9F" w14:textId="77777777" w:rsidR="002F5DE7" w:rsidRDefault="002F5DE7" w:rsidP="00C81290"/>
        </w:tc>
        <w:tc>
          <w:tcPr>
            <w:tcW w:w="2925" w:type="dxa"/>
          </w:tcPr>
          <w:p w14:paraId="75E14F68" w14:textId="77777777" w:rsidR="002F5DE7" w:rsidRDefault="002F5DE7" w:rsidP="00C81290"/>
        </w:tc>
      </w:tr>
      <w:tr w:rsidR="004E4481" w14:paraId="2F2EB8C4" w14:textId="77777777" w:rsidTr="00905887">
        <w:tc>
          <w:tcPr>
            <w:tcW w:w="9016" w:type="dxa"/>
            <w:gridSpan w:val="3"/>
            <w:shd w:val="clear" w:color="auto" w:fill="FFD966" w:themeFill="accent4" w:themeFillTint="99"/>
          </w:tcPr>
          <w:p w14:paraId="6E64E193" w14:textId="473CA1D9" w:rsidR="004E4481" w:rsidRDefault="004E4481" w:rsidP="004E4481">
            <w:pPr>
              <w:pStyle w:val="Heading2"/>
            </w:pPr>
            <w:r w:rsidRPr="000A3393">
              <w:lastRenderedPageBreak/>
              <w:t xml:space="preserve">Identifying </w:t>
            </w:r>
            <w:r>
              <w:t>A</w:t>
            </w:r>
            <w:r w:rsidRPr="000A3393">
              <w:t>rtists</w:t>
            </w:r>
            <w:r>
              <w:t xml:space="preserve"> </w:t>
            </w:r>
          </w:p>
        </w:tc>
      </w:tr>
      <w:tr w:rsidR="00E6736F" w14:paraId="55E9FE24" w14:textId="77777777" w:rsidTr="00C2031F">
        <w:tc>
          <w:tcPr>
            <w:tcW w:w="3005" w:type="dxa"/>
          </w:tcPr>
          <w:p w14:paraId="4140E159" w14:textId="53E1C930" w:rsidR="00E6736F" w:rsidRDefault="00E6736F" w:rsidP="00E6736F">
            <w:pPr>
              <w:pStyle w:val="Heading3"/>
            </w:pPr>
            <w:r>
              <w:t>Overarching Question</w:t>
            </w:r>
          </w:p>
        </w:tc>
        <w:tc>
          <w:tcPr>
            <w:tcW w:w="3086" w:type="dxa"/>
          </w:tcPr>
          <w:p w14:paraId="7111F5A3" w14:textId="17F0080A" w:rsidR="00E6736F" w:rsidRDefault="00E6736F" w:rsidP="00E6736F">
            <w:pPr>
              <w:pStyle w:val="Heading3"/>
            </w:pPr>
            <w:r>
              <w:t xml:space="preserve">Options </w:t>
            </w:r>
          </w:p>
        </w:tc>
        <w:tc>
          <w:tcPr>
            <w:tcW w:w="2925" w:type="dxa"/>
          </w:tcPr>
          <w:p w14:paraId="5909540B" w14:textId="6E7113B0" w:rsidR="00E6736F" w:rsidRDefault="00E6736F" w:rsidP="00E6736F">
            <w:pPr>
              <w:pStyle w:val="Heading3"/>
            </w:pPr>
            <w:r>
              <w:t>Comments/Context</w:t>
            </w:r>
          </w:p>
        </w:tc>
      </w:tr>
      <w:tr w:rsidR="00E6736F" w14:paraId="4DF2CB54" w14:textId="77777777" w:rsidTr="00C2031F">
        <w:tc>
          <w:tcPr>
            <w:tcW w:w="3005" w:type="dxa"/>
          </w:tcPr>
          <w:p w14:paraId="159CCCDF" w14:textId="6380EBE7" w:rsidR="00E6736F" w:rsidRDefault="00E6736F" w:rsidP="00E6736F">
            <w:r>
              <w:t>How do we look at the entanglement between art practice and other forms of community engagement work? Do we prefer a broad or narrow definition of community engagement as it refers to arts?</w:t>
            </w:r>
          </w:p>
        </w:tc>
        <w:tc>
          <w:tcPr>
            <w:tcW w:w="3086" w:type="dxa"/>
          </w:tcPr>
          <w:p w14:paraId="3B6C3997" w14:textId="77777777" w:rsidR="00E6736F" w:rsidRDefault="00E6736F" w:rsidP="00E6736F"/>
        </w:tc>
        <w:tc>
          <w:tcPr>
            <w:tcW w:w="2925" w:type="dxa"/>
          </w:tcPr>
          <w:p w14:paraId="41EA20A2" w14:textId="77777777" w:rsidR="00E6736F" w:rsidRDefault="00E6736F" w:rsidP="00E6736F"/>
        </w:tc>
      </w:tr>
      <w:tr w:rsidR="00E6736F" w14:paraId="5B24602A" w14:textId="77777777" w:rsidTr="00C2031F">
        <w:tc>
          <w:tcPr>
            <w:tcW w:w="3005" w:type="dxa"/>
          </w:tcPr>
          <w:p w14:paraId="449AB87A" w14:textId="6E17663D" w:rsidR="00E6736F" w:rsidRDefault="00E6736F" w:rsidP="00E6736F">
            <w:r>
              <w:t>What is the status of the arts in the respective community / how can we counter tendencies of elitism?</w:t>
            </w:r>
          </w:p>
        </w:tc>
        <w:tc>
          <w:tcPr>
            <w:tcW w:w="3086" w:type="dxa"/>
          </w:tcPr>
          <w:p w14:paraId="7EA40937" w14:textId="77777777" w:rsidR="00E6736F" w:rsidRDefault="00E6736F" w:rsidP="00E6736F"/>
        </w:tc>
        <w:tc>
          <w:tcPr>
            <w:tcW w:w="2925" w:type="dxa"/>
          </w:tcPr>
          <w:p w14:paraId="76028E92" w14:textId="77777777" w:rsidR="00E6736F" w:rsidRDefault="00E6736F" w:rsidP="00E6736F"/>
        </w:tc>
      </w:tr>
      <w:tr w:rsidR="00E6736F" w14:paraId="591C956A" w14:textId="77777777" w:rsidTr="00C2031F">
        <w:tc>
          <w:tcPr>
            <w:tcW w:w="3005" w:type="dxa"/>
          </w:tcPr>
          <w:p w14:paraId="4763E666" w14:textId="28327B14" w:rsidR="00E6736F" w:rsidRDefault="00E6736F" w:rsidP="00E6736F">
            <w:r>
              <w:t>How can we identify genres that belong to and will remain with the respective communities particularly well? What do local artists working in the community think/want?</w:t>
            </w:r>
          </w:p>
        </w:tc>
        <w:tc>
          <w:tcPr>
            <w:tcW w:w="3086" w:type="dxa"/>
          </w:tcPr>
          <w:p w14:paraId="5E8ABD68" w14:textId="77777777" w:rsidR="00E6736F" w:rsidRDefault="00E6736F" w:rsidP="00E6736F"/>
        </w:tc>
        <w:tc>
          <w:tcPr>
            <w:tcW w:w="2925" w:type="dxa"/>
          </w:tcPr>
          <w:p w14:paraId="0B911D45" w14:textId="77777777" w:rsidR="00E6736F" w:rsidRDefault="00E6736F" w:rsidP="00E6736F"/>
        </w:tc>
      </w:tr>
      <w:tr w:rsidR="00E6736F" w14:paraId="13C6F415" w14:textId="77777777" w:rsidTr="00C2031F">
        <w:tc>
          <w:tcPr>
            <w:tcW w:w="3005" w:type="dxa"/>
          </w:tcPr>
          <w:p w14:paraId="38397EDD" w14:textId="41C1B0D8" w:rsidR="00E6736F" w:rsidRDefault="00E6736F" w:rsidP="00E6736F">
            <w:r>
              <w:t xml:space="preserve">Do we aim for a degree of representation in artist </w:t>
            </w:r>
            <w:proofErr w:type="gramStart"/>
            <w:r>
              <w:t>representation</w:t>
            </w:r>
            <w:proofErr w:type="gramEnd"/>
            <w:r>
              <w:t xml:space="preserve"> or do we deliberately pick and choose </w:t>
            </w:r>
            <w:proofErr w:type="gramStart"/>
            <w:r>
              <w:t>particular arts approaches</w:t>
            </w:r>
            <w:proofErr w:type="gramEnd"/>
            <w:r>
              <w:t xml:space="preserve"> that fit with our project goals?</w:t>
            </w:r>
          </w:p>
        </w:tc>
        <w:tc>
          <w:tcPr>
            <w:tcW w:w="3086" w:type="dxa"/>
          </w:tcPr>
          <w:p w14:paraId="10C4A567" w14:textId="07E211B3" w:rsidR="00E6736F" w:rsidRDefault="00E6736F" w:rsidP="00E6736F">
            <w:pPr>
              <w:pStyle w:val="ListParagraph"/>
              <w:numPr>
                <w:ilvl w:val="0"/>
                <w:numId w:val="6"/>
              </w:numPr>
            </w:pPr>
            <w:r>
              <w:t>Do we want to be instrumental in choosing artists or have room for a wide variety of practices and approaches?</w:t>
            </w:r>
          </w:p>
        </w:tc>
        <w:tc>
          <w:tcPr>
            <w:tcW w:w="2925" w:type="dxa"/>
          </w:tcPr>
          <w:p w14:paraId="630A0DF9" w14:textId="77777777" w:rsidR="00E6736F" w:rsidRDefault="00E6736F" w:rsidP="00E6736F"/>
        </w:tc>
      </w:tr>
      <w:tr w:rsidR="00E6736F" w14:paraId="4F59C588" w14:textId="77777777" w:rsidTr="00C2031F">
        <w:tc>
          <w:tcPr>
            <w:tcW w:w="3005" w:type="dxa"/>
          </w:tcPr>
          <w:p w14:paraId="581BFE64" w14:textId="2C7763A1" w:rsidR="00E6736F" w:rsidRDefault="00E6736F" w:rsidP="00E6736F">
            <w:r>
              <w:t>Role of artists in respective community</w:t>
            </w:r>
          </w:p>
        </w:tc>
        <w:tc>
          <w:tcPr>
            <w:tcW w:w="3086" w:type="dxa"/>
          </w:tcPr>
          <w:p w14:paraId="58D66277" w14:textId="71FE7D92" w:rsidR="00E6736F" w:rsidRDefault="00E6736F" w:rsidP="00E6736F">
            <w:pPr>
              <w:pStyle w:val="ListParagraph"/>
              <w:numPr>
                <w:ilvl w:val="0"/>
                <w:numId w:val="6"/>
              </w:numPr>
            </w:pPr>
            <w:r>
              <w:t>Which currency are they paid in?</w:t>
            </w:r>
          </w:p>
          <w:p w14:paraId="4B243CFB" w14:textId="08FFC474" w:rsidR="00E6736F" w:rsidRDefault="00E6736F" w:rsidP="00E6736F">
            <w:pPr>
              <w:pStyle w:val="ListParagraph"/>
              <w:numPr>
                <w:ilvl w:val="0"/>
                <w:numId w:val="6"/>
              </w:numPr>
            </w:pPr>
            <w:r>
              <w:t>How integrated are they in the everyday lives of the communities they represent?</w:t>
            </w:r>
          </w:p>
          <w:p w14:paraId="44FB25D5" w14:textId="4680DE21" w:rsidR="00E6736F" w:rsidRDefault="00E6736F" w:rsidP="00E6736F">
            <w:pPr>
              <w:pStyle w:val="ListParagraph"/>
            </w:pPr>
          </w:p>
        </w:tc>
        <w:tc>
          <w:tcPr>
            <w:tcW w:w="2925" w:type="dxa"/>
          </w:tcPr>
          <w:p w14:paraId="71E73E9B" w14:textId="77777777" w:rsidR="00E6736F" w:rsidRDefault="00E6736F" w:rsidP="00E6736F"/>
        </w:tc>
      </w:tr>
      <w:tr w:rsidR="00E6736F" w14:paraId="47B99AEC" w14:textId="77777777" w:rsidTr="00C2031F">
        <w:tc>
          <w:tcPr>
            <w:tcW w:w="3005" w:type="dxa"/>
          </w:tcPr>
          <w:p w14:paraId="089D7B88" w14:textId="6B310694" w:rsidR="00E6736F" w:rsidRDefault="00E6736F" w:rsidP="00E6736F">
            <w:r>
              <w:t>Do we strive for coherence or diversity across countries?</w:t>
            </w:r>
          </w:p>
        </w:tc>
        <w:tc>
          <w:tcPr>
            <w:tcW w:w="3086" w:type="dxa"/>
          </w:tcPr>
          <w:p w14:paraId="31D762DD" w14:textId="77777777" w:rsidR="00E6736F" w:rsidRDefault="00E6736F" w:rsidP="00E6736F">
            <w:pPr>
              <w:pStyle w:val="ListParagraph"/>
              <w:numPr>
                <w:ilvl w:val="0"/>
                <w:numId w:val="8"/>
              </w:numPr>
            </w:pPr>
            <w:r>
              <w:t>Coherence provides more potential for abstraction, but could be problematic from a decolonial/ ethical point of view</w:t>
            </w:r>
          </w:p>
          <w:p w14:paraId="11527FAE" w14:textId="77777777" w:rsidR="00E6736F" w:rsidRDefault="00E6736F" w:rsidP="00E6736F">
            <w:pPr>
              <w:pStyle w:val="ListParagraph"/>
              <w:numPr>
                <w:ilvl w:val="0"/>
                <w:numId w:val="8"/>
              </w:numPr>
            </w:pPr>
            <w:r>
              <w:t xml:space="preserve">Diversity allows to capture broader practices but also creates methodological challenges (is there any comparability possible and should we try to do that in the first place)? </w:t>
            </w:r>
          </w:p>
          <w:p w14:paraId="5769C50B" w14:textId="77777777" w:rsidR="00E6736F" w:rsidRDefault="00E6736F" w:rsidP="00E6736F"/>
          <w:p w14:paraId="1C98B7D2" w14:textId="2924B5D4" w:rsidR="00E6736F" w:rsidRDefault="00E6736F" w:rsidP="004E4481">
            <w:r>
              <w:t>What can we cohere around and where do we say that we need difference across countries/locations?</w:t>
            </w:r>
          </w:p>
        </w:tc>
        <w:tc>
          <w:tcPr>
            <w:tcW w:w="2925" w:type="dxa"/>
          </w:tcPr>
          <w:p w14:paraId="29D0BB99" w14:textId="77777777" w:rsidR="00E6736F" w:rsidRDefault="00E6736F" w:rsidP="00E6736F"/>
        </w:tc>
      </w:tr>
      <w:tr w:rsidR="00E6736F" w14:paraId="73CB8D3B" w14:textId="77777777" w:rsidTr="00515672">
        <w:tc>
          <w:tcPr>
            <w:tcW w:w="9016" w:type="dxa"/>
            <w:gridSpan w:val="3"/>
            <w:shd w:val="clear" w:color="auto" w:fill="FFE599" w:themeFill="accent4" w:themeFillTint="66"/>
          </w:tcPr>
          <w:p w14:paraId="69837926" w14:textId="05CBC330" w:rsidR="00E6736F" w:rsidRDefault="00E6736F" w:rsidP="006557A5">
            <w:pPr>
              <w:pStyle w:val="Heading2"/>
            </w:pPr>
            <w:r>
              <w:lastRenderedPageBreak/>
              <w:t xml:space="preserve">Types of </w:t>
            </w:r>
            <w:r w:rsidR="004E4481">
              <w:t>R</w:t>
            </w:r>
            <w:r>
              <w:t xml:space="preserve">elationships with </w:t>
            </w:r>
            <w:r w:rsidR="004E4481">
              <w:t>A</w:t>
            </w:r>
            <w:r>
              <w:t xml:space="preserve">rtists </w:t>
            </w:r>
            <w:r w:rsidR="004E4481">
              <w:t>D</w:t>
            </w:r>
            <w:r>
              <w:t xml:space="preserve">uring </w:t>
            </w:r>
            <w:r w:rsidR="004E4481">
              <w:t>P</w:t>
            </w:r>
            <w:r>
              <w:t>roject</w:t>
            </w:r>
          </w:p>
        </w:tc>
      </w:tr>
      <w:tr w:rsidR="00E6736F" w14:paraId="38EAA6D6" w14:textId="77777777" w:rsidTr="003403E2">
        <w:tc>
          <w:tcPr>
            <w:tcW w:w="3005" w:type="dxa"/>
          </w:tcPr>
          <w:p w14:paraId="1F74E22E" w14:textId="16EA7F44" w:rsidR="00E6736F" w:rsidRPr="003E001A" w:rsidRDefault="00E6736F" w:rsidP="004E4481">
            <w:pPr>
              <w:pStyle w:val="Heading3"/>
            </w:pPr>
            <w:r w:rsidRPr="003E001A">
              <w:t>Phase</w:t>
            </w:r>
          </w:p>
        </w:tc>
        <w:tc>
          <w:tcPr>
            <w:tcW w:w="3086" w:type="dxa"/>
          </w:tcPr>
          <w:p w14:paraId="6215C272" w14:textId="1EC634D6" w:rsidR="00E6736F" w:rsidRPr="003E001A" w:rsidRDefault="00E6736F" w:rsidP="004E4481">
            <w:pPr>
              <w:pStyle w:val="Heading3"/>
            </w:pPr>
            <w:r w:rsidRPr="003E001A">
              <w:t xml:space="preserve">Type of </w:t>
            </w:r>
            <w:r>
              <w:t>R</w:t>
            </w:r>
            <w:r w:rsidRPr="003E001A">
              <w:t>elation</w:t>
            </w:r>
            <w:r>
              <w:t>ship</w:t>
            </w:r>
          </w:p>
        </w:tc>
        <w:tc>
          <w:tcPr>
            <w:tcW w:w="2925" w:type="dxa"/>
          </w:tcPr>
          <w:p w14:paraId="77D1710B" w14:textId="0E0BA8CF" w:rsidR="00E6736F" w:rsidRDefault="003403E2" w:rsidP="003403E2">
            <w:pPr>
              <w:pStyle w:val="Heading3"/>
            </w:pPr>
            <w:r w:rsidRPr="003403E2">
              <w:t>Comments/Context</w:t>
            </w:r>
          </w:p>
        </w:tc>
      </w:tr>
      <w:tr w:rsidR="00E6736F" w14:paraId="4F58F9CA" w14:textId="77777777" w:rsidTr="00C2031F">
        <w:tc>
          <w:tcPr>
            <w:tcW w:w="3005" w:type="dxa"/>
          </w:tcPr>
          <w:p w14:paraId="0ED7F0EF" w14:textId="4AD79206" w:rsidR="00E6736F" w:rsidRDefault="00E6736F" w:rsidP="00E6736F">
            <w:r>
              <w:t>While setting up the project</w:t>
            </w:r>
          </w:p>
        </w:tc>
        <w:tc>
          <w:tcPr>
            <w:tcW w:w="3086" w:type="dxa"/>
          </w:tcPr>
          <w:p w14:paraId="53C270AA" w14:textId="77777777" w:rsidR="00E6736F" w:rsidRDefault="00E6736F" w:rsidP="00E6736F">
            <w:pPr>
              <w:pStyle w:val="ListParagraph"/>
              <w:numPr>
                <w:ilvl w:val="0"/>
                <w:numId w:val="7"/>
              </w:numPr>
            </w:pPr>
            <w:r>
              <w:t>Who retains control over the platform and its use?</w:t>
            </w:r>
          </w:p>
          <w:p w14:paraId="50EC72E3" w14:textId="1667AE6E" w:rsidR="00E6736F" w:rsidRDefault="00E6736F" w:rsidP="00E6736F">
            <w:pPr>
              <w:pStyle w:val="ListParagraph"/>
              <w:numPr>
                <w:ilvl w:val="0"/>
                <w:numId w:val="7"/>
              </w:numPr>
            </w:pPr>
            <w:r>
              <w:t>How do you ensure early conversations about design fine-tuning to meet decolonial objectives</w:t>
            </w:r>
          </w:p>
          <w:p w14:paraId="0D42BE45" w14:textId="70A80BC9" w:rsidR="00E6736F" w:rsidRDefault="00E6736F" w:rsidP="00E6736F">
            <w:pPr>
              <w:pStyle w:val="ListParagraph"/>
              <w:numPr>
                <w:ilvl w:val="0"/>
                <w:numId w:val="7"/>
              </w:numPr>
            </w:pPr>
            <w:r>
              <w:t>Using studio space and making community</w:t>
            </w:r>
          </w:p>
        </w:tc>
        <w:tc>
          <w:tcPr>
            <w:tcW w:w="2925" w:type="dxa"/>
          </w:tcPr>
          <w:p w14:paraId="548A0E71" w14:textId="77777777" w:rsidR="00E6736F" w:rsidRDefault="00E6736F" w:rsidP="00E6736F"/>
        </w:tc>
      </w:tr>
      <w:tr w:rsidR="00E6736F" w14:paraId="01FE5182" w14:textId="77777777" w:rsidTr="00C2031F">
        <w:tc>
          <w:tcPr>
            <w:tcW w:w="3005" w:type="dxa"/>
          </w:tcPr>
          <w:p w14:paraId="239E084F" w14:textId="6E4051F2" w:rsidR="00E6736F" w:rsidRDefault="00E6736F" w:rsidP="00E6736F">
            <w:r>
              <w:t>While working in the field</w:t>
            </w:r>
          </w:p>
        </w:tc>
        <w:tc>
          <w:tcPr>
            <w:tcW w:w="3086" w:type="dxa"/>
          </w:tcPr>
          <w:p w14:paraId="02453BA1" w14:textId="5D862722" w:rsidR="00E6736F" w:rsidRDefault="00E6736F" w:rsidP="00E6736F">
            <w:pPr>
              <w:pStyle w:val="ListParagraph"/>
              <w:numPr>
                <w:ilvl w:val="0"/>
                <w:numId w:val="7"/>
              </w:numPr>
            </w:pPr>
            <w:r>
              <w:t xml:space="preserve">Using arts to engage communities </w:t>
            </w:r>
          </w:p>
          <w:p w14:paraId="506143E8" w14:textId="7E982594" w:rsidR="00E6736F" w:rsidRDefault="00E6736F" w:rsidP="00E6736F">
            <w:pPr>
              <w:pStyle w:val="ListParagraph"/>
              <w:numPr>
                <w:ilvl w:val="0"/>
                <w:numId w:val="7"/>
              </w:numPr>
            </w:pPr>
            <w:r>
              <w:t>Using art to empower a wider network of participants</w:t>
            </w:r>
          </w:p>
          <w:p w14:paraId="00B19180" w14:textId="7D27B1C2" w:rsidR="00E6736F" w:rsidRDefault="00E6736F" w:rsidP="00E6736F">
            <w:pPr>
              <w:pStyle w:val="ListParagraph"/>
              <w:numPr>
                <w:ilvl w:val="0"/>
                <w:numId w:val="7"/>
              </w:numPr>
            </w:pPr>
            <w:r>
              <w:t>Using art to understand and give voice to different subjectivities in the community</w:t>
            </w:r>
          </w:p>
        </w:tc>
        <w:tc>
          <w:tcPr>
            <w:tcW w:w="2925" w:type="dxa"/>
          </w:tcPr>
          <w:p w14:paraId="372783F6" w14:textId="77777777" w:rsidR="00E6736F" w:rsidRDefault="00E6736F" w:rsidP="00E6736F"/>
        </w:tc>
      </w:tr>
      <w:tr w:rsidR="00E6736F" w14:paraId="129868CC" w14:textId="77777777" w:rsidTr="00C2031F">
        <w:tc>
          <w:tcPr>
            <w:tcW w:w="3005" w:type="dxa"/>
          </w:tcPr>
          <w:p w14:paraId="1DD1B63A" w14:textId="42560F3C" w:rsidR="00E6736F" w:rsidRDefault="00E6736F" w:rsidP="00E6736F">
            <w:r>
              <w:t>While developing teaching materials</w:t>
            </w:r>
          </w:p>
        </w:tc>
        <w:tc>
          <w:tcPr>
            <w:tcW w:w="3086" w:type="dxa"/>
          </w:tcPr>
          <w:p w14:paraId="19711397" w14:textId="2DE6A3FD" w:rsidR="00E6736F" w:rsidRDefault="00E6736F" w:rsidP="00E6736F">
            <w:pPr>
              <w:pStyle w:val="ListParagraph"/>
              <w:numPr>
                <w:ilvl w:val="0"/>
                <w:numId w:val="7"/>
              </w:numPr>
            </w:pPr>
            <w:r>
              <w:t xml:space="preserve">Using arts to sensitise teachers to community issues </w:t>
            </w:r>
          </w:p>
          <w:p w14:paraId="1C6C5DF5" w14:textId="67C503D0" w:rsidR="00E6736F" w:rsidRDefault="00E6736F" w:rsidP="00E6736F">
            <w:pPr>
              <w:pStyle w:val="ListParagraph"/>
              <w:numPr>
                <w:ilvl w:val="0"/>
                <w:numId w:val="7"/>
              </w:numPr>
            </w:pPr>
            <w:r>
              <w:t xml:space="preserve">Use art to raise hidden issues communities may face </w:t>
            </w:r>
          </w:p>
          <w:p w14:paraId="226F4437" w14:textId="77777777" w:rsidR="00E6736F" w:rsidRDefault="00E6736F" w:rsidP="00E6736F">
            <w:pPr>
              <w:pStyle w:val="ListParagraph"/>
              <w:numPr>
                <w:ilvl w:val="0"/>
                <w:numId w:val="7"/>
              </w:numPr>
            </w:pPr>
            <w:r>
              <w:t>Using art as “raw material” in pedagogies</w:t>
            </w:r>
          </w:p>
          <w:p w14:paraId="1148828D" w14:textId="6EB6E935" w:rsidR="00E6736F" w:rsidRDefault="00E6736F" w:rsidP="00E6736F">
            <w:pPr>
              <w:pStyle w:val="ListParagraph"/>
              <w:numPr>
                <w:ilvl w:val="0"/>
                <w:numId w:val="7"/>
              </w:numPr>
            </w:pPr>
            <w:r>
              <w:t>Amplification vs transformation of issues</w:t>
            </w:r>
          </w:p>
        </w:tc>
        <w:tc>
          <w:tcPr>
            <w:tcW w:w="2925" w:type="dxa"/>
          </w:tcPr>
          <w:p w14:paraId="25C50688" w14:textId="77777777" w:rsidR="00E6736F" w:rsidRDefault="00E6736F" w:rsidP="00E6736F"/>
        </w:tc>
      </w:tr>
      <w:tr w:rsidR="00E6736F" w14:paraId="245524AA" w14:textId="77777777" w:rsidTr="00C2031F">
        <w:tc>
          <w:tcPr>
            <w:tcW w:w="3005" w:type="dxa"/>
          </w:tcPr>
          <w:p w14:paraId="7D3BF29C" w14:textId="72BFEC01" w:rsidR="00E6736F" w:rsidRDefault="00E6736F" w:rsidP="00E6736F">
            <w:r>
              <w:t>To enable participants to own the outcomes</w:t>
            </w:r>
          </w:p>
        </w:tc>
        <w:tc>
          <w:tcPr>
            <w:tcW w:w="3086" w:type="dxa"/>
          </w:tcPr>
          <w:p w14:paraId="7FD74986" w14:textId="4B05DEF6" w:rsidR="00E6736F" w:rsidRDefault="00E6736F" w:rsidP="00E6736F">
            <w:pPr>
              <w:pStyle w:val="ListParagraph"/>
              <w:numPr>
                <w:ilvl w:val="0"/>
                <w:numId w:val="7"/>
              </w:numPr>
            </w:pPr>
            <w:r>
              <w:t>Art outputs as more accessible than traditional academic outputs and presented to appropriate audiences</w:t>
            </w:r>
          </w:p>
        </w:tc>
        <w:tc>
          <w:tcPr>
            <w:tcW w:w="2925" w:type="dxa"/>
          </w:tcPr>
          <w:p w14:paraId="012C8774" w14:textId="77777777" w:rsidR="00E6736F" w:rsidRDefault="00E6736F" w:rsidP="00E6736F"/>
        </w:tc>
      </w:tr>
      <w:tr w:rsidR="00E6736F" w14:paraId="7F8D7767" w14:textId="77777777" w:rsidTr="00C2031F">
        <w:tc>
          <w:tcPr>
            <w:tcW w:w="3005" w:type="dxa"/>
          </w:tcPr>
          <w:p w14:paraId="41DDBDA4" w14:textId="5D33B8D0" w:rsidR="00E6736F" w:rsidRDefault="00E6736F" w:rsidP="00E6736F">
            <w:r>
              <w:t xml:space="preserve">To publish on the topic </w:t>
            </w:r>
          </w:p>
        </w:tc>
        <w:tc>
          <w:tcPr>
            <w:tcW w:w="3086" w:type="dxa"/>
          </w:tcPr>
          <w:p w14:paraId="6FE701A7" w14:textId="41165951" w:rsidR="00E6736F" w:rsidRDefault="00E6736F" w:rsidP="00E6736F">
            <w:pPr>
              <w:pStyle w:val="ListParagraph"/>
              <w:numPr>
                <w:ilvl w:val="0"/>
                <w:numId w:val="7"/>
              </w:numPr>
            </w:pPr>
            <w:r>
              <w:t>Hybrid models: academic and art outputs</w:t>
            </w:r>
          </w:p>
          <w:p w14:paraId="72C1022F" w14:textId="27DC8E9E" w:rsidR="00E6736F" w:rsidRDefault="00E6736F" w:rsidP="00E6736F">
            <w:pPr>
              <w:pStyle w:val="ListParagraph"/>
              <w:numPr>
                <w:ilvl w:val="0"/>
                <w:numId w:val="7"/>
              </w:numPr>
            </w:pPr>
            <w:r>
              <w:t>Using art tools as communication tools of research outputs</w:t>
            </w:r>
          </w:p>
        </w:tc>
        <w:tc>
          <w:tcPr>
            <w:tcW w:w="2925" w:type="dxa"/>
          </w:tcPr>
          <w:p w14:paraId="717DBB75" w14:textId="77777777" w:rsidR="00E6736F" w:rsidRDefault="00E6736F" w:rsidP="00E6736F"/>
        </w:tc>
      </w:tr>
    </w:tbl>
    <w:p w14:paraId="4D4692D5" w14:textId="2B31F7A2" w:rsidR="003E001A" w:rsidRDefault="003E001A" w:rsidP="00C81290"/>
    <w:p w14:paraId="36F5C3DD" w14:textId="1EA4D054" w:rsidR="00B37C92" w:rsidRDefault="00790E27" w:rsidP="006557A5">
      <w:pPr>
        <w:pStyle w:val="Heading2"/>
      </w:pPr>
      <w:r w:rsidRPr="00515672">
        <w:t>Resources</w:t>
      </w:r>
      <w:r w:rsidR="00E86A76" w:rsidRPr="00515672">
        <w:t>:</w:t>
      </w:r>
    </w:p>
    <w:p w14:paraId="30E50175" w14:textId="77777777" w:rsidR="003403E2" w:rsidRPr="003403E2" w:rsidRDefault="003403E2" w:rsidP="003403E2"/>
    <w:p w14:paraId="55A3F273" w14:textId="700D4CE5" w:rsidR="00E86A76" w:rsidRDefault="00E83D37" w:rsidP="00C81290">
      <w:hyperlink r:id="rId11" w:history="1">
        <w:r w:rsidRPr="00C85647">
          <w:rPr>
            <w:rStyle w:val="Hyperlink"/>
          </w:rPr>
          <w:t>https://ideasonfire.net/imagine-otherwise-podcast/</w:t>
        </w:r>
      </w:hyperlink>
      <w:r>
        <w:t xml:space="preserve"> (mainly US-based, but including plenty of decolonial approaches)</w:t>
      </w:r>
    </w:p>
    <w:p w14:paraId="3A0FF346" w14:textId="0D4018FE" w:rsidR="00B37C92" w:rsidRDefault="00E83D37" w:rsidP="00C81290">
      <w:r>
        <w:t>On co-ownership of outputs</w:t>
      </w:r>
      <w:r w:rsidR="00A243F0">
        <w:t xml:space="preserve"> / art in politically sensitive contexts</w:t>
      </w:r>
      <w:r>
        <w:t xml:space="preserve">: </w:t>
      </w:r>
      <w:hyperlink r:id="rId12" w:history="1">
        <w:r w:rsidRPr="00C85647">
          <w:rPr>
            <w:rStyle w:val="Hyperlink"/>
          </w:rPr>
          <w:t>https://www.prisonsmemoryarchive.com/illustrated_essay/a-documentary-archive-of-prison-experience-introduction-to-the-pma/</w:t>
        </w:r>
      </w:hyperlink>
      <w:r>
        <w:t xml:space="preserve">  </w:t>
      </w:r>
      <w:r w:rsidR="00A243F0">
        <w:t xml:space="preserve">and </w:t>
      </w:r>
      <w:hyperlink r:id="rId13" w:history="1">
        <w:r w:rsidR="00A243F0" w:rsidRPr="00C85647">
          <w:rPr>
            <w:rStyle w:val="Hyperlink"/>
          </w:rPr>
          <w:t>http://www.p-e-r-f-o-r-m-a-n-c-e.org/?p=139</w:t>
        </w:r>
      </w:hyperlink>
      <w:r w:rsidR="00A243F0">
        <w:t xml:space="preserve"> </w:t>
      </w:r>
    </w:p>
    <w:p w14:paraId="6E699317" w14:textId="2FCEB8EE" w:rsidR="00342B1B" w:rsidRDefault="003E001A" w:rsidP="00C81290">
      <w:r w:rsidRPr="003403E2">
        <w:rPr>
          <w:b/>
          <w:bCs/>
        </w:rPr>
        <w:lastRenderedPageBreak/>
        <w:t>NB:</w:t>
      </w:r>
      <w:r>
        <w:t xml:space="preserve"> </w:t>
      </w:r>
      <w:r w:rsidR="008C1712" w:rsidRPr="008C1712">
        <w:t xml:space="preserve">Cultural asset mapping is a process of identifying the cultural and artistic skills, talents, networks, and histories—including people, spaces, and </w:t>
      </w:r>
      <w:r w:rsidR="00342B1B">
        <w:t xml:space="preserve">knowledges </w:t>
      </w:r>
      <w:r w:rsidR="008C1712" w:rsidRPr="008C1712">
        <w:t xml:space="preserve">—to </w:t>
      </w:r>
      <w:r w:rsidR="00947D67">
        <w:t xml:space="preserve">begin with </w:t>
      </w:r>
      <w:r w:rsidR="00C2031F">
        <w:t>this in</w:t>
      </w:r>
      <w:r w:rsidR="008C1712" w:rsidRPr="008C1712">
        <w:t xml:space="preserve"> </w:t>
      </w:r>
      <w:r w:rsidR="00342B1B">
        <w:t>our research and our community</w:t>
      </w:r>
      <w:r w:rsidR="008C1712" w:rsidRPr="008C1712">
        <w:t xml:space="preserve"> efforts. It provides documentation for visioning and planning that focuses on community-identified </w:t>
      </w:r>
      <w:r w:rsidR="00C2031F" w:rsidRPr="008C1712">
        <w:t xml:space="preserve">strengths </w:t>
      </w:r>
      <w:proofErr w:type="gramStart"/>
      <w:r w:rsidR="00C2031F" w:rsidRPr="008C1712">
        <w:t>and</w:t>
      </w:r>
      <w:r w:rsidR="008C1712" w:rsidRPr="008C1712">
        <w:t xml:space="preserve"> also</w:t>
      </w:r>
      <w:proofErr w:type="gramEnd"/>
      <w:r w:rsidR="008C1712" w:rsidRPr="008C1712">
        <w:t xml:space="preserve"> provides a new lens through which to </w:t>
      </w:r>
      <w:r w:rsidR="00947D67">
        <w:t>enable</w:t>
      </w:r>
      <w:r w:rsidR="00947D67" w:rsidRPr="008C1712">
        <w:t xml:space="preserve"> </w:t>
      </w:r>
      <w:r w:rsidR="008C1712" w:rsidRPr="008C1712">
        <w:t>communities.</w:t>
      </w:r>
    </w:p>
    <w:p w14:paraId="5B487B9F" w14:textId="3A13073D" w:rsidR="00195F7F" w:rsidRPr="00C2031F" w:rsidRDefault="00777826" w:rsidP="006557A5">
      <w:pPr>
        <w:pStyle w:val="Heading2"/>
      </w:pPr>
      <w:r w:rsidRPr="00C2031F">
        <w:t xml:space="preserve">To </w:t>
      </w:r>
      <w:r w:rsidR="006557A5">
        <w:t>D</w:t>
      </w:r>
      <w:r w:rsidRPr="00C2031F">
        <w:t>iscuss</w:t>
      </w:r>
      <w:r w:rsidR="001D51B5">
        <w:t>:</w:t>
      </w:r>
    </w:p>
    <w:p w14:paraId="6F3AA895" w14:textId="3C1C78CE" w:rsidR="00777826" w:rsidRDefault="00FC2566" w:rsidP="001D51B5">
      <w:pPr>
        <w:pStyle w:val="ListParagraph"/>
        <w:numPr>
          <w:ilvl w:val="0"/>
          <w:numId w:val="9"/>
        </w:numPr>
      </w:pPr>
      <w:r>
        <w:t>How do we make sure</w:t>
      </w:r>
      <w:r w:rsidR="00777826">
        <w:t xml:space="preserve"> this </w:t>
      </w:r>
      <w:r>
        <w:t>is</w:t>
      </w:r>
      <w:r w:rsidR="00777826">
        <w:t xml:space="preserve"> a living document?</w:t>
      </w:r>
    </w:p>
    <w:p w14:paraId="5DBC2E11" w14:textId="6D346AB8" w:rsidR="00ED755B" w:rsidRDefault="00ED755B" w:rsidP="001D51B5">
      <w:pPr>
        <w:pStyle w:val="ListParagraph"/>
        <w:numPr>
          <w:ilvl w:val="0"/>
          <w:numId w:val="9"/>
        </w:numPr>
      </w:pPr>
      <w:r>
        <w:t>How do we take this forward?</w:t>
      </w:r>
    </w:p>
    <w:sectPr w:rsidR="00ED755B">
      <w:footerReference w:type="even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CC96A" w14:textId="77777777" w:rsidR="00C10303" w:rsidRDefault="00C10303" w:rsidP="00ED755B">
      <w:pPr>
        <w:spacing w:after="0" w:line="240" w:lineRule="auto"/>
      </w:pPr>
      <w:r>
        <w:separator/>
      </w:r>
    </w:p>
  </w:endnote>
  <w:endnote w:type="continuationSeparator" w:id="0">
    <w:p w14:paraId="791159CE" w14:textId="77777777" w:rsidR="00C10303" w:rsidRDefault="00C10303" w:rsidP="00ED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70301775"/>
      <w:docPartObj>
        <w:docPartGallery w:val="Page Numbers (Bottom of Page)"/>
        <w:docPartUnique/>
      </w:docPartObj>
    </w:sdtPr>
    <w:sdtContent>
      <w:p w14:paraId="7088955D" w14:textId="5079E2A8" w:rsidR="00ED755B" w:rsidRDefault="00ED755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1E895E" w14:textId="77777777" w:rsidR="00ED755B" w:rsidRDefault="00ED75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0702236"/>
      <w:docPartObj>
        <w:docPartGallery w:val="Page Numbers (Bottom of Page)"/>
        <w:docPartUnique/>
      </w:docPartObj>
    </w:sdtPr>
    <w:sdtContent>
      <w:p w14:paraId="20E61298" w14:textId="1F9284BF" w:rsidR="00ED755B" w:rsidRDefault="00ED755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33663C" w14:textId="77777777" w:rsidR="00ED755B" w:rsidRDefault="00ED7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3751" w14:textId="77777777" w:rsidR="00C10303" w:rsidRDefault="00C10303" w:rsidP="00ED755B">
      <w:pPr>
        <w:spacing w:after="0" w:line="240" w:lineRule="auto"/>
      </w:pPr>
      <w:r>
        <w:separator/>
      </w:r>
    </w:p>
  </w:footnote>
  <w:footnote w:type="continuationSeparator" w:id="0">
    <w:p w14:paraId="2F010C14" w14:textId="77777777" w:rsidR="00C10303" w:rsidRDefault="00C10303" w:rsidP="00ED7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618CF"/>
    <w:multiLevelType w:val="hybridMultilevel"/>
    <w:tmpl w:val="3B5A46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75813"/>
    <w:multiLevelType w:val="hybridMultilevel"/>
    <w:tmpl w:val="CFB28BF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4C0414"/>
    <w:multiLevelType w:val="hybridMultilevel"/>
    <w:tmpl w:val="D6AC1656"/>
    <w:lvl w:ilvl="0" w:tplc="7E6C98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E238D"/>
    <w:multiLevelType w:val="hybridMultilevel"/>
    <w:tmpl w:val="43AEE7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91BB0"/>
    <w:multiLevelType w:val="hybridMultilevel"/>
    <w:tmpl w:val="35568388"/>
    <w:lvl w:ilvl="0" w:tplc="273C72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268EB"/>
    <w:multiLevelType w:val="hybridMultilevel"/>
    <w:tmpl w:val="8556A52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FB636C"/>
    <w:multiLevelType w:val="hybridMultilevel"/>
    <w:tmpl w:val="CB4A5306"/>
    <w:lvl w:ilvl="0" w:tplc="2CEE25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45B8F"/>
    <w:multiLevelType w:val="hybridMultilevel"/>
    <w:tmpl w:val="7A48889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8E4FA7"/>
    <w:multiLevelType w:val="hybridMultilevel"/>
    <w:tmpl w:val="02F4AD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3670686">
    <w:abstractNumId w:val="6"/>
  </w:num>
  <w:num w:numId="2" w16cid:durableId="1459642634">
    <w:abstractNumId w:val="2"/>
  </w:num>
  <w:num w:numId="3" w16cid:durableId="1858690097">
    <w:abstractNumId w:val="4"/>
  </w:num>
  <w:num w:numId="4" w16cid:durableId="1274172336">
    <w:abstractNumId w:val="3"/>
  </w:num>
  <w:num w:numId="5" w16cid:durableId="640771222">
    <w:abstractNumId w:val="0"/>
  </w:num>
  <w:num w:numId="6" w16cid:durableId="285740556">
    <w:abstractNumId w:val="1"/>
  </w:num>
  <w:num w:numId="7" w16cid:durableId="449789735">
    <w:abstractNumId w:val="8"/>
  </w:num>
  <w:num w:numId="8" w16cid:durableId="218519149">
    <w:abstractNumId w:val="5"/>
  </w:num>
  <w:num w:numId="9" w16cid:durableId="204757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90"/>
    <w:rsid w:val="0000124C"/>
    <w:rsid w:val="000024EE"/>
    <w:rsid w:val="000327B9"/>
    <w:rsid w:val="0006507A"/>
    <w:rsid w:val="000A3393"/>
    <w:rsid w:val="000C55E7"/>
    <w:rsid w:val="00177041"/>
    <w:rsid w:val="00195719"/>
    <w:rsid w:val="00195F7F"/>
    <w:rsid w:val="001A7F1E"/>
    <w:rsid w:val="001D51B5"/>
    <w:rsid w:val="001E2A8B"/>
    <w:rsid w:val="001E3F5F"/>
    <w:rsid w:val="00222E1F"/>
    <w:rsid w:val="00291C28"/>
    <w:rsid w:val="002E1E9A"/>
    <w:rsid w:val="002F5DE7"/>
    <w:rsid w:val="002F6297"/>
    <w:rsid w:val="003403E2"/>
    <w:rsid w:val="00342B1B"/>
    <w:rsid w:val="0034693E"/>
    <w:rsid w:val="0036775D"/>
    <w:rsid w:val="003C292E"/>
    <w:rsid w:val="003C700A"/>
    <w:rsid w:val="003D407A"/>
    <w:rsid w:val="003E001A"/>
    <w:rsid w:val="003E3673"/>
    <w:rsid w:val="00451A8A"/>
    <w:rsid w:val="00452D51"/>
    <w:rsid w:val="004863FC"/>
    <w:rsid w:val="004872E5"/>
    <w:rsid w:val="004D27EB"/>
    <w:rsid w:val="004E4481"/>
    <w:rsid w:val="00515672"/>
    <w:rsid w:val="00524BC6"/>
    <w:rsid w:val="00546E2C"/>
    <w:rsid w:val="00576169"/>
    <w:rsid w:val="0059179C"/>
    <w:rsid w:val="005A6D86"/>
    <w:rsid w:val="006557A5"/>
    <w:rsid w:val="006A5419"/>
    <w:rsid w:val="006D1229"/>
    <w:rsid w:val="006D14FF"/>
    <w:rsid w:val="006D4767"/>
    <w:rsid w:val="006F78A2"/>
    <w:rsid w:val="00716DB6"/>
    <w:rsid w:val="00745233"/>
    <w:rsid w:val="007543FF"/>
    <w:rsid w:val="00773599"/>
    <w:rsid w:val="00777826"/>
    <w:rsid w:val="00790E27"/>
    <w:rsid w:val="00855803"/>
    <w:rsid w:val="008C1712"/>
    <w:rsid w:val="008D1553"/>
    <w:rsid w:val="00947D67"/>
    <w:rsid w:val="00953A43"/>
    <w:rsid w:val="009F3D93"/>
    <w:rsid w:val="00A243F0"/>
    <w:rsid w:val="00A67C47"/>
    <w:rsid w:val="00AC0235"/>
    <w:rsid w:val="00AC78DB"/>
    <w:rsid w:val="00AE79A0"/>
    <w:rsid w:val="00AF1A73"/>
    <w:rsid w:val="00AF510A"/>
    <w:rsid w:val="00B317CD"/>
    <w:rsid w:val="00B37C92"/>
    <w:rsid w:val="00B7418D"/>
    <w:rsid w:val="00C10303"/>
    <w:rsid w:val="00C2031F"/>
    <w:rsid w:val="00C57A38"/>
    <w:rsid w:val="00C81290"/>
    <w:rsid w:val="00C92678"/>
    <w:rsid w:val="00CE4603"/>
    <w:rsid w:val="00D321A4"/>
    <w:rsid w:val="00D5098D"/>
    <w:rsid w:val="00D54294"/>
    <w:rsid w:val="00DB6C08"/>
    <w:rsid w:val="00DF7AA4"/>
    <w:rsid w:val="00E1603F"/>
    <w:rsid w:val="00E6736F"/>
    <w:rsid w:val="00E8241A"/>
    <w:rsid w:val="00E83D37"/>
    <w:rsid w:val="00E86A76"/>
    <w:rsid w:val="00ED755B"/>
    <w:rsid w:val="00F0112E"/>
    <w:rsid w:val="00F11855"/>
    <w:rsid w:val="00F93035"/>
    <w:rsid w:val="00FC2566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B64542"/>
  <w15:chartTrackingRefBased/>
  <w15:docId w15:val="{2B1B8F9A-D1E8-4D58-B9CC-6A11DE92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3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0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DE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7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55B"/>
  </w:style>
  <w:style w:type="character" w:styleId="PageNumber">
    <w:name w:val="page number"/>
    <w:basedOn w:val="DefaultParagraphFont"/>
    <w:uiPriority w:val="99"/>
    <w:semiHidden/>
    <w:unhideWhenUsed/>
    <w:rsid w:val="00ED755B"/>
  </w:style>
  <w:style w:type="character" w:styleId="Hyperlink">
    <w:name w:val="Hyperlink"/>
    <w:basedOn w:val="DefaultParagraphFont"/>
    <w:uiPriority w:val="99"/>
    <w:unhideWhenUsed/>
    <w:rsid w:val="00E83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D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160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0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0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0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3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9571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F4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49D2"/>
  </w:style>
  <w:style w:type="character" w:customStyle="1" w:styleId="Heading1Char">
    <w:name w:val="Heading 1 Char"/>
    <w:basedOn w:val="DefaultParagraphFont"/>
    <w:link w:val="Heading1"/>
    <w:uiPriority w:val="9"/>
    <w:rsid w:val="00754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02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02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-e-r-f-o-r-m-a-n-c-e.org/?p=13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isonsmemoryarchive.com/illustrated_essay/a-documentary-archive-of-prison-experience-introduction-to-the-pm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deasonfire.net/imagine-otherwise-podcas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26EA64481C040A1FE7E8F6959F50F" ma:contentTypeVersion="15" ma:contentTypeDescription="Create a new document." ma:contentTypeScope="" ma:versionID="5ccf20e55925e623ea4d9d381c577396">
  <xsd:schema xmlns:xsd="http://www.w3.org/2001/XMLSchema" xmlns:xs="http://www.w3.org/2001/XMLSchema" xmlns:p="http://schemas.microsoft.com/office/2006/metadata/properties" xmlns:ns3="66faaa41-a150-45c6-8224-a9a307be60d1" xmlns:ns4="ed9d2163-4fb3-4947-8bfd-454e8e6d4998" targetNamespace="http://schemas.microsoft.com/office/2006/metadata/properties" ma:root="true" ma:fieldsID="195ad85ed0cd553519a93f7c3e6732f5" ns3:_="" ns4:_="">
    <xsd:import namespace="66faaa41-a150-45c6-8224-a9a307be60d1"/>
    <xsd:import namespace="ed9d2163-4fb3-4947-8bfd-454e8e6d49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aaa41-a150-45c6-8224-a9a307be60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d2163-4fb3-4947-8bfd-454e8e6d4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900A1-4483-420C-B325-CACE77D66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aaa41-a150-45c6-8224-a9a307be60d1"/>
    <ds:schemaRef ds:uri="ed9d2163-4fb3-4947-8bfd-454e8e6d4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461794-3631-4AEA-9DEA-AD224EA8C5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736A93-1576-46A5-99AA-AD46EAC87D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BB0B87-2E81-47A7-8D15-499017A8AA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755</Words>
  <Characters>4132</Characters>
  <Application>Microsoft Office Word</Application>
  <DocSecurity>0</DocSecurity>
  <Lines>217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Parvati.Raghuram</dc:creator>
  <cp:keywords/>
  <dc:description/>
  <cp:lastModifiedBy>Sarah Miller</cp:lastModifiedBy>
  <cp:revision>29</cp:revision>
  <dcterms:created xsi:type="dcterms:W3CDTF">2025-06-25T19:04:00Z</dcterms:created>
  <dcterms:modified xsi:type="dcterms:W3CDTF">2025-12-10T06:15:00Z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0x010100A7226EA64481C040A1FE7E8F6959F50F</vt:lpwstr>
  </property>
</Properties>
</file>